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Invito alla coprogettazione: la Fondazione Comunitaria di Agrigento e Trapani cerca partner con cui sviluppare una Policy per il benessere degli adolescenti di Mazara del Vallo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Fondazione Comunitaria di Agrigento e Trapani annuncia l'avvio della fase di co-ideazione della "</w:t>
      </w:r>
      <w:r w:rsidDel="00000000" w:rsidR="00000000" w:rsidRPr="00000000">
        <w:rPr>
          <w:b w:val="1"/>
          <w:sz w:val="24"/>
          <w:szCs w:val="24"/>
          <w:rtl w:val="0"/>
        </w:rPr>
        <w:t xml:space="preserve">Child Municipality Policy: la città amica delle ragazze e dei ragazzi</w:t>
      </w:r>
      <w:r w:rsidDel="00000000" w:rsidR="00000000" w:rsidRPr="00000000">
        <w:rPr>
          <w:sz w:val="24"/>
          <w:szCs w:val="24"/>
          <w:rtl w:val="0"/>
        </w:rPr>
        <w:t xml:space="preserve">" con una call-for-action. 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ricercano partner con cui co-progettare politiche e interventi a favore del benessere degli adolescenti di Mazara del Vallo:</w:t>
      </w:r>
      <w:r w:rsidDel="00000000" w:rsidR="00000000" w:rsidRPr="00000000">
        <w:rPr>
          <w:b w:val="1"/>
          <w:sz w:val="24"/>
          <w:szCs w:val="24"/>
          <w:rtl w:val="0"/>
        </w:rPr>
        <w:t xml:space="preserve"> Istituzioni, Enti del Terzo Settore, Scuole, Aziende  e Cittadini attivi </w:t>
      </w:r>
      <w:r w:rsidDel="00000000" w:rsidR="00000000" w:rsidRPr="00000000">
        <w:rPr>
          <w:sz w:val="24"/>
          <w:szCs w:val="24"/>
          <w:rtl w:val="0"/>
        </w:rPr>
        <w:t xml:space="preserve">che vogliano partecipare ai tavoli di lavoro che si terranno da giugno 2024. 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L'obiettivo dell’attività "Child Municipality Policy" è coinvolgere persone e organizzazioni della comunità locale nella definizione e implementazione di politiche mirate al benessere dei giovani, attraverso un processo partecipativo e inclusivo. Il gruppo di lavoro sarà responsabile di raccogliere i bisogni degli adolescenti, sviluppare politiche e programmare interventi, individuare risorse e quantificare un budget, nonché sviluppare un piano di monitoraggio e documentazione delle politiche e degli interventi adottati.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Attraverso questa iniziativa, verrà creata </w:t>
      </w:r>
      <w:r w:rsidDel="00000000" w:rsidR="00000000" w:rsidRPr="00000000">
        <w:rPr>
          <w:b w:val="1"/>
          <w:sz w:val="24"/>
          <w:szCs w:val="24"/>
          <w:rtl w:val="0"/>
        </w:rPr>
        <w:t xml:space="preserve">una piattaforma di partecipazione e catalizzazione di risorse</w:t>
      </w:r>
      <w:r w:rsidDel="00000000" w:rsidR="00000000" w:rsidRPr="00000000">
        <w:rPr>
          <w:sz w:val="24"/>
          <w:szCs w:val="24"/>
          <w:rtl w:val="0"/>
        </w:rPr>
        <w:t xml:space="preserve"> per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promuovere il benessere degli adolescenti</w:t>
      </w:r>
      <w:r w:rsidDel="00000000" w:rsidR="00000000" w:rsidRPr="00000000">
        <w:rPr>
          <w:sz w:val="24"/>
          <w:szCs w:val="24"/>
          <w:rtl w:val="0"/>
        </w:rPr>
        <w:t xml:space="preserve">, con obiettivi specifici che includono la definizione comune di una "Child Municipality Policy", l'identificazione degli ambiti di intervento e delle politiche da promuovere, nonché la presentazione e diffusione della Policy sul territorio.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percorso comprenderà 9 incontri divisi in quattro fasi cruciali: Esplorazione, Elaborazione, Spazi Pubblici, Definizione e Diffusione, culminando con la presentazione della Policy stessa. 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percorso non si limita alla progettazione, ma rappresenta anche </w:t>
      </w:r>
      <w:r w:rsidDel="00000000" w:rsidR="00000000" w:rsidRPr="00000000">
        <w:rPr>
          <w:b w:val="1"/>
          <w:sz w:val="24"/>
          <w:szCs w:val="24"/>
          <w:rtl w:val="0"/>
        </w:rPr>
        <w:t xml:space="preserve">un'opportunità di apprendimento preziosa</w:t>
      </w:r>
      <w:r w:rsidDel="00000000" w:rsidR="00000000" w:rsidRPr="00000000">
        <w:rPr>
          <w:sz w:val="24"/>
          <w:szCs w:val="24"/>
          <w:rtl w:val="0"/>
        </w:rPr>
        <w:t xml:space="preserve"> grazie alla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collaborazione attiva con l'Università LUMSA</w:t>
      </w:r>
      <w:r w:rsidDel="00000000" w:rsidR="00000000" w:rsidRPr="00000000">
        <w:rPr>
          <w:sz w:val="24"/>
          <w:szCs w:val="24"/>
          <w:rtl w:val="0"/>
        </w:rPr>
        <w:t xml:space="preserve"> e con gli esperti qualificati nel settore coinvolti nell’azione.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Inoltre, l’obiettivo è anche quello di garantire</w:t>
      </w:r>
      <w:r w:rsidDel="00000000" w:rsidR="00000000" w:rsidRPr="00000000">
        <w:rPr>
          <w:b w:val="1"/>
          <w:sz w:val="24"/>
          <w:szCs w:val="24"/>
          <w:rtl w:val="0"/>
        </w:rPr>
        <w:t xml:space="preserve"> sostenibilità</w:t>
      </w:r>
      <w:r w:rsidDel="00000000" w:rsidR="00000000" w:rsidRPr="00000000">
        <w:rPr>
          <w:sz w:val="24"/>
          <w:szCs w:val="24"/>
          <w:rtl w:val="0"/>
        </w:rPr>
        <w:t xml:space="preserve"> alla Policy anche oltre la fase di progettazione attraverso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consolidamento delle partnership</w:t>
      </w:r>
      <w:r w:rsidDel="00000000" w:rsidR="00000000" w:rsidRPr="00000000">
        <w:rPr>
          <w:sz w:val="24"/>
          <w:szCs w:val="24"/>
          <w:rtl w:val="0"/>
        </w:rPr>
        <w:t xml:space="preserve"> che si creeranno e la</w:t>
      </w:r>
      <w:r w:rsidDel="00000000" w:rsidR="00000000" w:rsidRPr="00000000">
        <w:rPr>
          <w:b w:val="1"/>
          <w:sz w:val="24"/>
          <w:szCs w:val="24"/>
          <w:rtl w:val="0"/>
        </w:rPr>
        <w:t xml:space="preserve"> partecipazione a bandi</w:t>
      </w:r>
      <w:r w:rsidDel="00000000" w:rsidR="00000000" w:rsidRPr="00000000">
        <w:rPr>
          <w:sz w:val="24"/>
          <w:szCs w:val="24"/>
          <w:rtl w:val="0"/>
        </w:rPr>
        <w:t xml:space="preserve"> per l'accesso a finanziamenti mirati che permettano l’implementazione degli interventi pianificati, come ad esempio Erasmus+, CERV, Fondo per il contrasto alla povertà educativa minorile, PNRR M5C3 – Investimento 1. 3 – Interventi socio-educativi strutturati di contrasto alla povertà educativa nel Mezzogiorno, etc.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</w:t>
      </w:r>
      <w:r w:rsidDel="00000000" w:rsidR="00000000" w:rsidRPr="00000000">
        <w:rPr>
          <w:b w:val="1"/>
          <w:sz w:val="24"/>
          <w:szCs w:val="24"/>
          <w:rtl w:val="0"/>
        </w:rPr>
        <w:t xml:space="preserve">partecipare ai tavoli di co-progettazione</w:t>
      </w:r>
      <w:r w:rsidDel="00000000" w:rsidR="00000000" w:rsidRPr="00000000">
        <w:rPr>
          <w:sz w:val="24"/>
          <w:szCs w:val="24"/>
          <w:rtl w:val="0"/>
        </w:rPr>
        <w:t xml:space="preserve">, si invita a compilare il form al seguente link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https://forms.gle/8hryHREqys4PqrTF6</w:t>
        </w:r>
      </w:hyperlink>
      <w:r w:rsidDel="00000000" w:rsidR="00000000" w:rsidRPr="00000000">
        <w:rPr>
          <w:sz w:val="24"/>
          <w:szCs w:val="24"/>
          <w:rtl w:val="0"/>
        </w:rPr>
        <w:t xml:space="preserve">  o a contattare Alessia Gambino all'indirizzo e-mail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a.gambino@fcagrigentotrapani.it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Unisciti a noi per fare la differenza nella crescita e nel benessere delle giovani generazioni!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Il progetto Sfide</w:t>
      </w:r>
    </w:p>
    <w:p w:rsidR="00000000" w:rsidDel="00000000" w:rsidP="00000000" w:rsidRDefault="00000000" w:rsidRPr="00000000" w14:paraId="0000001A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L’azione "Child Municipality Policy: la città amica delle ragazze e dei ragazzi" è realizzata nell’ambito del progetto Sfide. Il progetto si rivolge ai minori di età compresa tra gli 11 e i 17 anni e alle loro famiglie, con particolare attenzione ai ragazzi e alle ragazze con background migratorio. Attraverso questo progetto, miriamo a potenziare la Comunità Educante, creando reti solide tra i vari attori educativi e favorendo l'incontro tra persone di culture diverse per uno sviluppo armonioso dei giovani.</w:t>
      </w:r>
    </w:p>
    <w:p w:rsidR="00000000" w:rsidDel="00000000" w:rsidP="00000000" w:rsidRDefault="00000000" w:rsidRPr="00000000" w14:paraId="0000001B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Il progetto Sfide è stato finanziato dall’Unione Europea – Next Generation EU- PNRR M5C3 – Investimento 1.3 – Interventi socio-educativi strutturati di contrasto alla povertà educativa nel Mezzogiorno a sostegno del Terzo Settore, inserendosi nel “Piano Nazionale di Ripresa e Resilienza”.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b w:val="1"/>
        <w:sz w:val="28"/>
        <w:szCs w:val="28"/>
        <w:rtl w:val="0"/>
      </w:rPr>
      <w:t xml:space="preserve">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-271462</wp:posOffset>
          </wp:positionV>
          <wp:extent cx="2112065" cy="72866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2065" cy="7286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-323849</wp:posOffset>
          </wp:positionH>
          <wp:positionV relativeFrom="paragraph">
            <wp:posOffset>-342899</wp:posOffset>
          </wp:positionV>
          <wp:extent cx="1423988" cy="871579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3988" cy="87157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8hryHREqys4PqrTF6" TargetMode="External"/><Relationship Id="rId7" Type="http://schemas.openxmlformats.org/officeDocument/2006/relationships/hyperlink" Target="mailto:a.gambino@fcagrigentotrapani.it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